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TTF46827ACtCID-WinCharSetFFFF-H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第十七届深圳读书月</w:t>
      </w:r>
      <w:r>
        <w:rPr>
          <w:rFonts w:hint="eastAsia" w:ascii="宋体" w:hAnsi="宋体"/>
          <w:sz w:val="30"/>
          <w:szCs w:val="30"/>
        </w:rPr>
        <w:t>•</w:t>
      </w:r>
      <w:r>
        <w:rPr>
          <w:rFonts w:hint="eastAsia" w:ascii="宋体" w:hAnsi="宋体"/>
          <w:b/>
          <w:sz w:val="36"/>
          <w:szCs w:val="36"/>
        </w:rPr>
        <w:t>第七届名著新编短剧大赛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评分标准</w:t>
      </w:r>
    </w:p>
    <w:bookmarkEnd w:id="0"/>
    <w:p>
      <w:pPr>
        <w:rPr>
          <w:rFonts w:hint="eastAsia"/>
        </w:rPr>
      </w:pPr>
    </w:p>
    <w:tbl>
      <w:tblPr>
        <w:tblStyle w:val="3"/>
        <w:tblW w:w="88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9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范畴</w:t>
            </w:r>
          </w:p>
        </w:tc>
        <w:tc>
          <w:tcPr>
            <w:tcW w:w="73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（40分）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对原著的把握（20分）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是否改编自经典名著、内容健康积极？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有否准确把握原著核心内容及思想？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创意（20分）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是否对原著进行了改编？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改编是否符合原著核心思想？是否保留原著主要角色？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观点是否清晰？内容是否独到而具启发性？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是否有创意、体现时代特色？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所呈现的内容是否清晰、连贯？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演员与道具所建构的视觉画面是否能有效凸显内容？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道具的运用是否简洁、恰当？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语言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台词是否符合情境和人物性格？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台词是否清晰、流畅？语调、音量是否得当？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戏剧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时间是否控制在12分钟以内？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情节和人物设计是否清晰？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表演技巧是否良好？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演员间是否合作良好、具备默契和交流？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各环节是否衔接紧密？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0DCB"/>
    <w:rsid w:val="77050D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2016-09-01T07:25:00Z</dcterms:created>
  <dc:creator>Administrator</dc:creator>
  <cp:lastModifiedBy>Administrator</cp:lastModifiedBy>
  <dcterms:modified xsi:type="dcterms:W3CDTF">2016-09-01T07:25:23Z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